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0BE3" w14:textId="6E664A87" w:rsidR="00414A6A" w:rsidRPr="00414A6A" w:rsidRDefault="00414A6A" w:rsidP="00414A6A">
      <w:pPr>
        <w:jc w:val="center"/>
        <w:rPr>
          <w:rStyle w:val="SubtleReference"/>
          <w:rFonts w:ascii="Arial" w:hAnsi="Arial" w:cs="Arial"/>
          <w:sz w:val="22"/>
        </w:rPr>
      </w:pPr>
      <w:r w:rsidRPr="00414A6A">
        <w:rPr>
          <w:rStyle w:val="SubtleReference"/>
          <w:rFonts w:ascii="Arial" w:hAnsi="Arial" w:cs="Arial"/>
          <w:sz w:val="22"/>
        </w:rPr>
        <w:t xml:space="preserve">Use this </w:t>
      </w:r>
      <w:r w:rsidR="00BF1288">
        <w:rPr>
          <w:rStyle w:val="SubtleReference"/>
          <w:rFonts w:ascii="Arial" w:hAnsi="Arial" w:cs="Arial"/>
          <w:sz w:val="22"/>
        </w:rPr>
        <w:t>template</w:t>
      </w:r>
      <w:r w:rsidRPr="00414A6A">
        <w:rPr>
          <w:rStyle w:val="SubtleReference"/>
          <w:rFonts w:ascii="Arial" w:hAnsi="Arial" w:cs="Arial"/>
          <w:sz w:val="22"/>
        </w:rPr>
        <w:t xml:space="preserve"> to prepare the information needed to apply for</w:t>
      </w:r>
      <w:r w:rsidR="00CB30F8">
        <w:rPr>
          <w:rStyle w:val="SubtleReference"/>
          <w:rFonts w:ascii="Arial" w:hAnsi="Arial" w:cs="Arial"/>
          <w:sz w:val="22"/>
        </w:rPr>
        <w:t xml:space="preserve"> access to </w:t>
      </w:r>
      <w:proofErr w:type="spellStart"/>
      <w:r w:rsidR="00CD05CF">
        <w:rPr>
          <w:rStyle w:val="SubtleReference"/>
          <w:rFonts w:ascii="Arial" w:hAnsi="Arial" w:cs="Arial"/>
          <w:sz w:val="22"/>
        </w:rPr>
        <w:t>biosamples</w:t>
      </w:r>
      <w:proofErr w:type="spellEnd"/>
      <w:r w:rsidR="00CB30F8">
        <w:rPr>
          <w:rStyle w:val="SubtleReference"/>
          <w:rFonts w:ascii="Arial" w:hAnsi="Arial" w:cs="Arial"/>
          <w:sz w:val="22"/>
        </w:rPr>
        <w:t xml:space="preserve"> under an approved </w:t>
      </w:r>
      <w:r w:rsidRPr="00414A6A">
        <w:rPr>
          <w:rStyle w:val="SubtleReference"/>
          <w:rFonts w:ascii="Arial" w:hAnsi="Arial" w:cs="Arial"/>
          <w:sz w:val="22"/>
        </w:rPr>
        <w:t xml:space="preserve">project </w:t>
      </w:r>
      <w:r w:rsidR="00CB30F8">
        <w:rPr>
          <w:rStyle w:val="SubtleReference"/>
          <w:rFonts w:ascii="Arial" w:hAnsi="Arial" w:cs="Arial"/>
          <w:sz w:val="22"/>
        </w:rPr>
        <w:t>in</w:t>
      </w:r>
      <w:r w:rsidRPr="00414A6A">
        <w:rPr>
          <w:rStyle w:val="SubtleReference"/>
          <w:rFonts w:ascii="Arial" w:hAnsi="Arial" w:cs="Arial"/>
          <w:sz w:val="22"/>
        </w:rPr>
        <w:t xml:space="preserve"> ROSS</w:t>
      </w:r>
    </w:p>
    <w:p w14:paraId="643276B7" w14:textId="77777777" w:rsidR="00541910" w:rsidRDefault="00541910" w:rsidP="00CD05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7D7799F5" w14:textId="77777777" w:rsidTr="00CD05CF">
        <w:tc>
          <w:tcPr>
            <w:tcW w:w="9350" w:type="dxa"/>
            <w:shd w:val="clear" w:color="auto" w:fill="00778B"/>
          </w:tcPr>
          <w:p w14:paraId="6D5F561D" w14:textId="77777777" w:rsidR="00CD05CF" w:rsidRPr="00CD05CF" w:rsidRDefault="00CD05CF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Sample details</w:t>
            </w:r>
          </w:p>
        </w:tc>
      </w:tr>
      <w:tr w:rsidR="00CD05CF" w:rsidRPr="00CD05CF" w14:paraId="50DFF962" w14:textId="77777777" w:rsidTr="007555F9">
        <w:tc>
          <w:tcPr>
            <w:tcW w:w="9350" w:type="dxa"/>
          </w:tcPr>
          <w:p w14:paraId="2E1E5425" w14:textId="30BE526E" w:rsidR="00CD05CF" w:rsidRDefault="00CD05CF" w:rsidP="007555F9">
            <w:pPr>
              <w:rPr>
                <w:rFonts w:ascii="Arial" w:hAnsi="Arial" w:cs="Arial"/>
              </w:rPr>
            </w:pPr>
            <w:r w:rsidRPr="00CD05CF">
              <w:rPr>
                <w:rFonts w:ascii="Arial" w:hAnsi="Arial" w:cs="Arial"/>
              </w:rPr>
              <w:t xml:space="preserve">Include </w:t>
            </w: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Raine</w:t>
            </w:r>
            <w:proofErr w:type="spellEnd"/>
            <w:r>
              <w:rPr>
                <w:rFonts w:ascii="Arial" w:hAnsi="Arial" w:cs="Arial"/>
              </w:rPr>
              <w:t xml:space="preserve"> Study generation and </w:t>
            </w:r>
            <w:r w:rsidRPr="00CD05CF">
              <w:rPr>
                <w:rFonts w:ascii="Arial" w:hAnsi="Arial" w:cs="Arial"/>
              </w:rPr>
              <w:t>follow-up</w:t>
            </w:r>
            <w:r w:rsidR="00BF1288">
              <w:rPr>
                <w:rFonts w:ascii="Arial" w:hAnsi="Arial" w:cs="Arial"/>
              </w:rPr>
              <w:t xml:space="preserve"> (e.g. Gen2-22 year follow-up)</w:t>
            </w:r>
            <w:r w:rsidRPr="00CD05CF">
              <w:rPr>
                <w:rFonts w:ascii="Arial" w:hAnsi="Arial" w:cs="Arial"/>
              </w:rPr>
              <w:t>, sample required, volume</w:t>
            </w:r>
          </w:p>
          <w:p w14:paraId="705A3CEB" w14:textId="16BB64FF" w:rsidR="00CD05CF" w:rsidRPr="00CD05CF" w:rsidRDefault="00CD05CF" w:rsidP="007555F9">
            <w:pPr>
              <w:rPr>
                <w:rFonts w:ascii="Arial" w:hAnsi="Arial" w:cs="Arial"/>
              </w:rPr>
            </w:pPr>
          </w:p>
        </w:tc>
      </w:tr>
    </w:tbl>
    <w:p w14:paraId="2CA28109" w14:textId="77777777" w:rsidR="00CD05CF" w:rsidRPr="00CD05CF" w:rsidRDefault="00CD05CF" w:rsidP="00CD05C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4A6144BB" w14:textId="77777777" w:rsidTr="00CD05CF">
        <w:tc>
          <w:tcPr>
            <w:tcW w:w="9350" w:type="dxa"/>
            <w:shd w:val="clear" w:color="auto" w:fill="00778B"/>
          </w:tcPr>
          <w:p w14:paraId="713CF3C8" w14:textId="77777777" w:rsidR="00CD05CF" w:rsidRPr="00CD05CF" w:rsidRDefault="00CD05CF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Transport</w:t>
            </w:r>
          </w:p>
        </w:tc>
      </w:tr>
      <w:tr w:rsidR="00CD05CF" w:rsidRPr="00CD05CF" w14:paraId="7959FF80" w14:textId="77777777" w:rsidTr="007555F9">
        <w:tc>
          <w:tcPr>
            <w:tcW w:w="9350" w:type="dxa"/>
          </w:tcPr>
          <w:p w14:paraId="5C8ECA2F" w14:textId="77777777" w:rsidR="00CD05CF" w:rsidRDefault="00CD05CF" w:rsidP="007555F9">
            <w:pPr>
              <w:rPr>
                <w:rFonts w:ascii="Arial" w:hAnsi="Arial" w:cs="Arial"/>
              </w:rPr>
            </w:pPr>
            <w:r w:rsidRPr="00CD05CF">
              <w:rPr>
                <w:rFonts w:ascii="Arial" w:hAnsi="Arial" w:cs="Arial"/>
              </w:rPr>
              <w:t xml:space="preserve">Provide details of sample transport and the return of remaining samples to the </w:t>
            </w:r>
            <w:proofErr w:type="spellStart"/>
            <w:r w:rsidRPr="00CD05CF">
              <w:rPr>
                <w:rFonts w:ascii="Arial" w:hAnsi="Arial" w:cs="Arial"/>
              </w:rPr>
              <w:t>Raine</w:t>
            </w:r>
            <w:proofErr w:type="spellEnd"/>
            <w:r w:rsidRPr="00CD05CF">
              <w:rPr>
                <w:rFonts w:ascii="Arial" w:hAnsi="Arial" w:cs="Arial"/>
              </w:rPr>
              <w:t xml:space="preserve"> Study</w:t>
            </w:r>
          </w:p>
          <w:p w14:paraId="10968431" w14:textId="77777777" w:rsidR="00CD05CF" w:rsidRPr="00CD05CF" w:rsidRDefault="00CD05CF" w:rsidP="007555F9">
            <w:pPr>
              <w:rPr>
                <w:rFonts w:ascii="Arial" w:hAnsi="Arial" w:cs="Arial"/>
              </w:rPr>
            </w:pPr>
          </w:p>
        </w:tc>
      </w:tr>
    </w:tbl>
    <w:p w14:paraId="32C1A45E" w14:textId="77777777" w:rsidR="00CD05CF" w:rsidRPr="00CD05CF" w:rsidRDefault="00CD05CF" w:rsidP="00CD05CF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1F0C38AA" w14:textId="77777777" w:rsidTr="00CD05CF">
        <w:tc>
          <w:tcPr>
            <w:tcW w:w="9350" w:type="dxa"/>
            <w:shd w:val="clear" w:color="auto" w:fill="00778B"/>
          </w:tcPr>
          <w:p w14:paraId="49CB8077" w14:textId="77777777" w:rsidR="00CD05CF" w:rsidRPr="00CD05CF" w:rsidRDefault="00CD05CF" w:rsidP="00CD05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Viability</w:t>
            </w:r>
          </w:p>
        </w:tc>
      </w:tr>
      <w:tr w:rsidR="00CD05CF" w:rsidRPr="00CD05CF" w14:paraId="50C8BE03" w14:textId="77777777" w:rsidTr="007555F9">
        <w:tc>
          <w:tcPr>
            <w:tcW w:w="9350" w:type="dxa"/>
          </w:tcPr>
          <w:p w14:paraId="32E686A9" w14:textId="0BAE8726" w:rsidR="00CD05CF" w:rsidRPr="00CD05CF" w:rsidRDefault="00CD05CF" w:rsidP="00BF1288">
            <w:pPr>
              <w:rPr>
                <w:rFonts w:ascii="Arial" w:hAnsi="Arial" w:cs="Arial"/>
              </w:rPr>
            </w:pPr>
            <w:r w:rsidRPr="00CD05CF">
              <w:rPr>
                <w:rFonts w:ascii="Arial" w:hAnsi="Arial" w:cs="Arial"/>
              </w:rPr>
              <w:t xml:space="preserve">Provide evidence that the </w:t>
            </w:r>
            <w:proofErr w:type="spellStart"/>
            <w:r w:rsidRPr="00CD05CF">
              <w:rPr>
                <w:rFonts w:ascii="Arial" w:hAnsi="Arial" w:cs="Arial"/>
              </w:rPr>
              <w:t>analyte</w:t>
            </w:r>
            <w:proofErr w:type="spellEnd"/>
            <w:r w:rsidRPr="00CD05CF">
              <w:rPr>
                <w:rFonts w:ascii="Arial" w:hAnsi="Arial" w:cs="Arial"/>
              </w:rPr>
              <w:t xml:space="preserve">(s) is measurable in the biological sample (note that the sample could be up to </w:t>
            </w:r>
            <w:r w:rsidR="00BF1288">
              <w:rPr>
                <w:rFonts w:ascii="Arial" w:hAnsi="Arial" w:cs="Arial"/>
              </w:rPr>
              <w:t>30</w:t>
            </w:r>
            <w:r w:rsidRPr="00CD05CF">
              <w:rPr>
                <w:rFonts w:ascii="Arial" w:hAnsi="Arial" w:cs="Arial"/>
              </w:rPr>
              <w:t xml:space="preserve"> years old). </w:t>
            </w:r>
            <w:r w:rsidR="00BF1288" w:rsidRPr="00BF1288">
              <w:rPr>
                <w:rFonts w:ascii="Arial" w:hAnsi="Arial" w:cs="Arial"/>
              </w:rPr>
              <w:t xml:space="preserve">If necessary, publications to support your case can be sent to </w:t>
            </w:r>
            <w:hyperlink r:id="rId8" w:history="1">
              <w:r w:rsidR="00BF1288" w:rsidRPr="00157219">
                <w:rPr>
                  <w:rStyle w:val="Hyperlink"/>
                  <w:rFonts w:ascii="Arial" w:hAnsi="Arial" w:cs="Arial"/>
                </w:rPr>
                <w:t xml:space="preserve">the </w:t>
              </w:r>
              <w:proofErr w:type="spellStart"/>
              <w:r w:rsidR="00BF1288" w:rsidRPr="00157219">
                <w:rPr>
                  <w:rStyle w:val="Hyperlink"/>
                  <w:rFonts w:ascii="Arial" w:hAnsi="Arial" w:cs="Arial"/>
                </w:rPr>
                <w:t>Raine</w:t>
              </w:r>
              <w:proofErr w:type="spellEnd"/>
              <w:r w:rsidR="00BF1288" w:rsidRPr="00157219">
                <w:rPr>
                  <w:rStyle w:val="Hyperlink"/>
                  <w:rFonts w:ascii="Arial" w:hAnsi="Arial" w:cs="Arial"/>
                </w:rPr>
                <w:t xml:space="preserve"> Study</w:t>
              </w:r>
            </w:hyperlink>
            <w:r w:rsidR="00BF1288" w:rsidRPr="00BF1288">
              <w:rPr>
                <w:rFonts w:ascii="Arial" w:hAnsi="Arial" w:cs="Arial"/>
              </w:rPr>
              <w:t xml:space="preserve">. If plasma is required, can the proposed assays be done on a plasma sample that has been through the freeze/thaw/freeze process? Please provide details. </w:t>
            </w:r>
          </w:p>
        </w:tc>
      </w:tr>
    </w:tbl>
    <w:p w14:paraId="4BE2A9A0" w14:textId="77777777" w:rsidR="00CD05CF" w:rsidRPr="00CD05CF" w:rsidRDefault="00CD05CF" w:rsidP="00CD05CF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70FC54C5" w14:textId="77777777" w:rsidTr="00CD05CF">
        <w:tc>
          <w:tcPr>
            <w:tcW w:w="9350" w:type="dxa"/>
            <w:shd w:val="clear" w:color="auto" w:fill="00778B"/>
          </w:tcPr>
          <w:p w14:paraId="519234B1" w14:textId="77777777" w:rsidR="00CD05CF" w:rsidRPr="00CD05CF" w:rsidRDefault="00CD05CF" w:rsidP="00CD05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Analysis</w:t>
            </w:r>
          </w:p>
        </w:tc>
      </w:tr>
      <w:tr w:rsidR="00CD05CF" w:rsidRPr="00CD05CF" w14:paraId="762074DD" w14:textId="77777777" w:rsidTr="007555F9">
        <w:tc>
          <w:tcPr>
            <w:tcW w:w="9350" w:type="dxa"/>
          </w:tcPr>
          <w:p w14:paraId="18DA0603" w14:textId="4EB4D9B5" w:rsidR="00CD05CF" w:rsidRDefault="00CD05CF" w:rsidP="007555F9">
            <w:pPr>
              <w:rPr>
                <w:rFonts w:ascii="Arial" w:hAnsi="Arial" w:cs="Arial"/>
              </w:rPr>
            </w:pPr>
            <w:r w:rsidRPr="00CD05CF">
              <w:rPr>
                <w:rFonts w:ascii="Arial" w:hAnsi="Arial" w:cs="Arial"/>
              </w:rPr>
              <w:t>Where will the analyses be performed? What is the rational</w:t>
            </w:r>
            <w:r w:rsidR="00BF1288">
              <w:rPr>
                <w:rFonts w:ascii="Arial" w:hAnsi="Arial" w:cs="Arial"/>
              </w:rPr>
              <w:t>e</w:t>
            </w:r>
            <w:r w:rsidRPr="00CD05CF">
              <w:rPr>
                <w:rFonts w:ascii="Arial" w:hAnsi="Arial" w:cs="Arial"/>
              </w:rPr>
              <w:t xml:space="preserve"> for performing these analyses at this location?</w:t>
            </w:r>
          </w:p>
          <w:p w14:paraId="1B4D0E0B" w14:textId="77777777" w:rsidR="00CD05CF" w:rsidRPr="00CD05CF" w:rsidRDefault="00CD05CF" w:rsidP="007555F9">
            <w:pPr>
              <w:rPr>
                <w:rFonts w:ascii="Arial" w:hAnsi="Arial" w:cs="Arial"/>
              </w:rPr>
            </w:pPr>
          </w:p>
        </w:tc>
      </w:tr>
    </w:tbl>
    <w:p w14:paraId="13AD3029" w14:textId="77777777" w:rsidR="00CD05CF" w:rsidRPr="00CD05CF" w:rsidRDefault="00CD05CF" w:rsidP="00CD05C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5B1265D5" w14:textId="77777777" w:rsidTr="00CD05CF">
        <w:tc>
          <w:tcPr>
            <w:tcW w:w="9350" w:type="dxa"/>
            <w:shd w:val="clear" w:color="auto" w:fill="00778B"/>
          </w:tcPr>
          <w:p w14:paraId="761D3F4D" w14:textId="77777777" w:rsidR="00CD05CF" w:rsidRPr="00CD05CF" w:rsidRDefault="00CD05CF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Quality control</w:t>
            </w:r>
          </w:p>
        </w:tc>
      </w:tr>
      <w:tr w:rsidR="00CD05CF" w:rsidRPr="00CD05CF" w14:paraId="1087D4CB" w14:textId="77777777" w:rsidTr="007555F9">
        <w:tc>
          <w:tcPr>
            <w:tcW w:w="9350" w:type="dxa"/>
          </w:tcPr>
          <w:p w14:paraId="6BD975C4" w14:textId="77777777" w:rsidR="00CD05CF" w:rsidRPr="00CD05CF" w:rsidRDefault="00CD05CF" w:rsidP="007555F9">
            <w:pPr>
              <w:rPr>
                <w:rFonts w:ascii="Arial" w:hAnsi="Arial" w:cs="Arial"/>
              </w:rPr>
            </w:pPr>
            <w:r w:rsidRPr="00CD05CF">
              <w:rPr>
                <w:rFonts w:ascii="Arial" w:hAnsi="Arial" w:cs="Arial"/>
              </w:rPr>
              <w:t>Describe the method(s) of quality control (e.g. triplicate testing or CV for testing, control samples)</w:t>
            </w:r>
          </w:p>
        </w:tc>
      </w:tr>
    </w:tbl>
    <w:p w14:paraId="45FB3B80" w14:textId="07FEEA8F" w:rsidR="00CD05CF" w:rsidRDefault="00CD05CF" w:rsidP="00CD05C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0CB892CB" w14:textId="77777777" w:rsidTr="00CD05CF">
        <w:tc>
          <w:tcPr>
            <w:tcW w:w="9010" w:type="dxa"/>
            <w:shd w:val="clear" w:color="auto" w:fill="00778B"/>
          </w:tcPr>
          <w:p w14:paraId="4829F569" w14:textId="77777777" w:rsidR="00CD05CF" w:rsidRPr="00CD05CF" w:rsidRDefault="00CD05CF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Additional analyses</w:t>
            </w:r>
          </w:p>
        </w:tc>
      </w:tr>
      <w:tr w:rsidR="00CD05CF" w:rsidRPr="00CD05CF" w14:paraId="0CD7FADC" w14:textId="77777777" w:rsidTr="00CD05CF">
        <w:tc>
          <w:tcPr>
            <w:tcW w:w="9010" w:type="dxa"/>
          </w:tcPr>
          <w:p w14:paraId="7F255815" w14:textId="77777777" w:rsidR="00CD05CF" w:rsidRDefault="00CD05CF" w:rsidP="007555F9">
            <w:pPr>
              <w:rPr>
                <w:rFonts w:ascii="Arial" w:hAnsi="Arial" w:cs="Arial"/>
              </w:rPr>
            </w:pPr>
            <w:r w:rsidRPr="00CD05CF">
              <w:rPr>
                <w:rFonts w:ascii="Arial" w:hAnsi="Arial" w:cs="Arial"/>
              </w:rPr>
              <w:t>Is there potential for other tests to be conducted on the sample at the same time?</w:t>
            </w:r>
          </w:p>
          <w:p w14:paraId="1FE41A77" w14:textId="77777777" w:rsidR="00CD05CF" w:rsidRPr="00CD05CF" w:rsidRDefault="00CD05CF" w:rsidP="007555F9">
            <w:pPr>
              <w:rPr>
                <w:rFonts w:ascii="Arial" w:hAnsi="Arial" w:cs="Arial"/>
              </w:rPr>
            </w:pPr>
          </w:p>
        </w:tc>
      </w:tr>
    </w:tbl>
    <w:p w14:paraId="5217D9C5" w14:textId="77777777" w:rsidR="00CD05CF" w:rsidRPr="00CD05CF" w:rsidRDefault="00CD05CF" w:rsidP="00CD05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38E87E35" w14:textId="77777777" w:rsidTr="00CD05CF">
        <w:tc>
          <w:tcPr>
            <w:tcW w:w="9350" w:type="dxa"/>
            <w:shd w:val="clear" w:color="auto" w:fill="00778B"/>
          </w:tcPr>
          <w:p w14:paraId="780A298A" w14:textId="77777777" w:rsidR="00CD05CF" w:rsidRPr="00CD05CF" w:rsidRDefault="00CD05CF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Funding</w:t>
            </w:r>
          </w:p>
        </w:tc>
      </w:tr>
      <w:tr w:rsidR="00CD05CF" w:rsidRPr="00CD05CF" w14:paraId="5AD2F41A" w14:textId="77777777" w:rsidTr="007555F9">
        <w:tc>
          <w:tcPr>
            <w:tcW w:w="9350" w:type="dxa"/>
          </w:tcPr>
          <w:p w14:paraId="4A3E8075" w14:textId="156735D0" w:rsidR="00CD05CF" w:rsidRPr="00CD05CF" w:rsidRDefault="00CD05CF" w:rsidP="00CD05CF">
            <w:pPr>
              <w:rPr>
                <w:rFonts w:ascii="Arial" w:hAnsi="Arial" w:cs="Arial"/>
              </w:rPr>
            </w:pPr>
            <w:r w:rsidRPr="00CD05CF">
              <w:rPr>
                <w:rFonts w:ascii="Arial" w:hAnsi="Arial" w:cs="Arial"/>
              </w:rPr>
              <w:t xml:space="preserve">Detail the costs of analysis and who will be funding these costs (including </w:t>
            </w:r>
            <w:r>
              <w:rPr>
                <w:rFonts w:ascii="Arial" w:hAnsi="Arial" w:cs="Arial"/>
              </w:rPr>
              <w:t xml:space="preserve">transport, </w:t>
            </w:r>
            <w:proofErr w:type="spellStart"/>
            <w:r w:rsidRPr="00CD05CF">
              <w:rPr>
                <w:rFonts w:ascii="Arial" w:hAnsi="Arial" w:cs="Arial"/>
              </w:rPr>
              <w:t>aliquotting</w:t>
            </w:r>
            <w:proofErr w:type="spellEnd"/>
            <w:r w:rsidRPr="00CD05CF">
              <w:rPr>
                <w:rFonts w:ascii="Arial" w:hAnsi="Arial" w:cs="Arial"/>
              </w:rPr>
              <w:t xml:space="preserve"> and preparation)</w:t>
            </w:r>
          </w:p>
        </w:tc>
      </w:tr>
    </w:tbl>
    <w:p w14:paraId="055B440F" w14:textId="77777777" w:rsidR="00CD05CF" w:rsidRPr="00CD05CF" w:rsidRDefault="00CD05CF" w:rsidP="00CD05CF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7977E2FE" w14:textId="77777777" w:rsidTr="00CD05CF">
        <w:tc>
          <w:tcPr>
            <w:tcW w:w="9350" w:type="dxa"/>
            <w:shd w:val="clear" w:color="auto" w:fill="00778B"/>
          </w:tcPr>
          <w:p w14:paraId="194EA761" w14:textId="77777777" w:rsidR="00CD05CF" w:rsidRPr="00CD05CF" w:rsidRDefault="00CD05CF" w:rsidP="00CD05C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Whole cohort</w:t>
            </w:r>
          </w:p>
        </w:tc>
      </w:tr>
      <w:tr w:rsidR="00CD05CF" w:rsidRPr="00CD05CF" w14:paraId="0C408786" w14:textId="77777777" w:rsidTr="007555F9">
        <w:tc>
          <w:tcPr>
            <w:tcW w:w="9350" w:type="dxa"/>
          </w:tcPr>
          <w:p w14:paraId="05531A08" w14:textId="77777777" w:rsidR="00BF1288" w:rsidRDefault="00BF1288" w:rsidP="00CD05CF">
            <w:pPr>
              <w:rPr>
                <w:rFonts w:ascii="Arial" w:hAnsi="Arial" w:cs="Arial"/>
              </w:rPr>
            </w:pPr>
            <w:r w:rsidRPr="00BF1288">
              <w:rPr>
                <w:rFonts w:ascii="Arial" w:hAnsi="Arial" w:cs="Arial"/>
              </w:rPr>
              <w:t xml:space="preserve">The </w:t>
            </w:r>
            <w:proofErr w:type="spellStart"/>
            <w:r w:rsidRPr="00BF1288">
              <w:rPr>
                <w:rFonts w:ascii="Arial" w:hAnsi="Arial" w:cs="Arial"/>
              </w:rPr>
              <w:t>Raine</w:t>
            </w:r>
            <w:proofErr w:type="spellEnd"/>
            <w:r w:rsidRPr="00BF1288">
              <w:rPr>
                <w:rFonts w:ascii="Arial" w:hAnsi="Arial" w:cs="Arial"/>
              </w:rPr>
              <w:t xml:space="preserve"> Study requires that any assessments undertaken on biological samples to be performed on the whole cohort. If this is not possible, please provide a justification for why these would only be possible in a sub-sample of the cohort</w:t>
            </w:r>
            <w:r>
              <w:rPr>
                <w:rFonts w:ascii="Arial" w:hAnsi="Arial" w:cs="Arial"/>
              </w:rPr>
              <w:t>.</w:t>
            </w:r>
          </w:p>
          <w:p w14:paraId="2279DE4C" w14:textId="77777777" w:rsidR="00BF1288" w:rsidRDefault="00BF1288" w:rsidP="00CD05CF">
            <w:pPr>
              <w:rPr>
                <w:rFonts w:ascii="Arial" w:hAnsi="Arial" w:cs="Arial"/>
              </w:rPr>
            </w:pPr>
            <w:r w:rsidRPr="00BF1288">
              <w:rPr>
                <w:rFonts w:ascii="Arial" w:hAnsi="Arial" w:cs="Arial"/>
              </w:rPr>
              <w:t>Please tick one of the following options</w:t>
            </w:r>
          </w:p>
          <w:p w14:paraId="32BB256B" w14:textId="6D7E546D" w:rsidR="00CD05CF" w:rsidRPr="00CD05CF" w:rsidRDefault="00541910" w:rsidP="00CD05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87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5CF" w:rsidRPr="00CD05CF">
              <w:rPr>
                <w:rFonts w:ascii="Arial" w:hAnsi="Arial" w:cs="Arial"/>
              </w:rPr>
              <w:t xml:space="preserve"> I confirm that analyses are to be performed on the whole cohort  </w:t>
            </w:r>
          </w:p>
          <w:p w14:paraId="074C114E" w14:textId="297A23B7" w:rsidR="00CD05CF" w:rsidRPr="00CD05CF" w:rsidRDefault="00541910" w:rsidP="00BF12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73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5CF" w:rsidRPr="00CD05CF">
              <w:rPr>
                <w:rFonts w:ascii="Arial" w:hAnsi="Arial" w:cs="Arial"/>
              </w:rPr>
              <w:t xml:space="preserve"> Analyses will not be</w:t>
            </w:r>
            <w:r w:rsidR="00BF1288">
              <w:rPr>
                <w:rFonts w:ascii="Arial" w:hAnsi="Arial" w:cs="Arial"/>
              </w:rPr>
              <w:t xml:space="preserve"> performed on the whole cohort (</w:t>
            </w:r>
            <w:r w:rsidR="00BF1288" w:rsidRPr="00BF1288">
              <w:rPr>
                <w:rFonts w:ascii="Arial" w:hAnsi="Arial" w:cs="Arial"/>
              </w:rPr>
              <w:t>Please justify why analysis will not be performed on the whole cohort</w:t>
            </w:r>
            <w:r w:rsidR="00BF1288">
              <w:rPr>
                <w:rFonts w:ascii="Arial" w:hAnsi="Arial" w:cs="Arial"/>
              </w:rPr>
              <w:t>)</w:t>
            </w:r>
          </w:p>
        </w:tc>
      </w:tr>
    </w:tbl>
    <w:p w14:paraId="508485BE" w14:textId="77777777" w:rsidR="00CD05CF" w:rsidRPr="00CD05CF" w:rsidRDefault="00CD05CF" w:rsidP="00CD05C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5CF" w:rsidRPr="00CD05CF" w14:paraId="6765E6C1" w14:textId="77777777" w:rsidTr="00541910">
        <w:tc>
          <w:tcPr>
            <w:tcW w:w="9010" w:type="dxa"/>
            <w:shd w:val="clear" w:color="auto" w:fill="00778B"/>
          </w:tcPr>
          <w:p w14:paraId="070BB686" w14:textId="77777777" w:rsidR="00CD05CF" w:rsidRPr="00CD05CF" w:rsidRDefault="00CD05CF" w:rsidP="007555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5CF">
              <w:rPr>
                <w:rFonts w:ascii="Arial" w:hAnsi="Arial" w:cs="Arial"/>
                <w:b/>
                <w:color w:val="FFFFFF" w:themeColor="background1"/>
              </w:rPr>
              <w:t>Broader use of data</w:t>
            </w:r>
          </w:p>
        </w:tc>
      </w:tr>
      <w:tr w:rsidR="00CD05CF" w:rsidRPr="00CD05CF" w14:paraId="31CD1968" w14:textId="77777777" w:rsidTr="00541910">
        <w:tc>
          <w:tcPr>
            <w:tcW w:w="9010" w:type="dxa"/>
          </w:tcPr>
          <w:p w14:paraId="4B525D2B" w14:textId="04746003" w:rsidR="00CD05CF" w:rsidRPr="00CD05CF" w:rsidRDefault="00CD05CF" w:rsidP="00BF1288">
            <w:pPr>
              <w:rPr>
                <w:rFonts w:ascii="Arial" w:hAnsi="Arial" w:cs="Arial"/>
              </w:rPr>
            </w:pPr>
            <w:r w:rsidRPr="00CD05CF">
              <w:rPr>
                <w:rFonts w:ascii="Arial" w:hAnsi="Arial" w:cs="Arial"/>
              </w:rPr>
              <w:t xml:space="preserve">Please </w:t>
            </w:r>
            <w:r w:rsidR="00BF1288">
              <w:rPr>
                <w:rFonts w:ascii="Arial" w:hAnsi="Arial" w:cs="Arial"/>
              </w:rPr>
              <w:t>explain</w:t>
            </w:r>
            <w:r w:rsidRPr="00CD05CF">
              <w:rPr>
                <w:rFonts w:ascii="Arial" w:hAnsi="Arial" w:cs="Arial"/>
              </w:rPr>
              <w:t xml:space="preserve"> the value of this assay/test to the wider </w:t>
            </w:r>
            <w:r w:rsidR="00BF1288">
              <w:rPr>
                <w:rFonts w:ascii="Arial" w:hAnsi="Arial" w:cs="Arial"/>
              </w:rPr>
              <w:t xml:space="preserve">research community using the </w:t>
            </w:r>
            <w:proofErr w:type="spellStart"/>
            <w:r w:rsidRPr="00CD05CF">
              <w:rPr>
                <w:rFonts w:ascii="Arial" w:hAnsi="Arial" w:cs="Arial"/>
              </w:rPr>
              <w:t>Raine</w:t>
            </w:r>
            <w:proofErr w:type="spellEnd"/>
            <w:r w:rsidRPr="00CD05CF">
              <w:rPr>
                <w:rFonts w:ascii="Arial" w:hAnsi="Arial" w:cs="Arial"/>
              </w:rPr>
              <w:t xml:space="preserve"> Study </w:t>
            </w:r>
            <w:r w:rsidR="00BF1288">
              <w:rPr>
                <w:rFonts w:ascii="Arial" w:hAnsi="Arial" w:cs="Arial"/>
              </w:rPr>
              <w:t xml:space="preserve">resources. </w:t>
            </w:r>
          </w:p>
        </w:tc>
      </w:tr>
    </w:tbl>
    <w:p w14:paraId="6BF1BE8F" w14:textId="77777777" w:rsidR="00541910" w:rsidRDefault="00541910" w:rsidP="00541910">
      <w:pPr>
        <w:rPr>
          <w:rFonts w:ascii="Arial" w:hAnsi="Arial" w:cs="Arial"/>
          <w:sz w:val="20"/>
        </w:rPr>
      </w:pPr>
      <w:r w:rsidRPr="00541910">
        <w:rPr>
          <w:rFonts w:ascii="Arial" w:hAnsi="Arial" w:cs="Arial"/>
          <w:sz w:val="20"/>
        </w:rPr>
        <w:lastRenderedPageBreak/>
        <w:t xml:space="preserve">*Please note a reference number will be created automatically by ROSS once your form is submitted. This number is related to the project number and should be used in all communications with the </w:t>
      </w:r>
      <w:proofErr w:type="spellStart"/>
      <w:r w:rsidRPr="00541910">
        <w:rPr>
          <w:rFonts w:ascii="Arial" w:hAnsi="Arial" w:cs="Arial"/>
          <w:sz w:val="20"/>
        </w:rPr>
        <w:t>Raine</w:t>
      </w:r>
      <w:proofErr w:type="spellEnd"/>
      <w:r w:rsidRPr="00541910">
        <w:rPr>
          <w:rFonts w:ascii="Arial" w:hAnsi="Arial" w:cs="Arial"/>
          <w:sz w:val="20"/>
        </w:rPr>
        <w:t xml:space="preserve"> Study team. </w:t>
      </w:r>
    </w:p>
    <w:p w14:paraId="5826084E" w14:textId="77777777" w:rsidR="00CD05CF" w:rsidRPr="00CD05CF" w:rsidRDefault="00CD05CF" w:rsidP="00CD05CF">
      <w:pPr>
        <w:rPr>
          <w:rFonts w:ascii="Arial" w:hAnsi="Arial" w:cs="Arial"/>
          <w:b/>
        </w:rPr>
      </w:pPr>
    </w:p>
    <w:p w14:paraId="7F5B416A" w14:textId="16A32101" w:rsidR="00AC6190" w:rsidRDefault="00AC6190" w:rsidP="00AC619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B30F8">
        <w:rPr>
          <w:rFonts w:ascii="Arial" w:hAnsi="Arial" w:cs="Arial"/>
          <w:b/>
          <w:bCs/>
          <w:sz w:val="22"/>
          <w:szCs w:val="22"/>
        </w:rPr>
        <w:t xml:space="preserve">All researchers who will handle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biosample</w:t>
      </w:r>
      <w:r w:rsidR="00157219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CB30F8">
        <w:rPr>
          <w:rFonts w:ascii="Arial" w:hAnsi="Arial" w:cs="Arial"/>
          <w:b/>
          <w:bCs/>
          <w:sz w:val="22"/>
          <w:szCs w:val="22"/>
        </w:rPr>
        <w:t xml:space="preserve"> will be asked to confirm their involvement and agree to abide by </w:t>
      </w:r>
      <w:hyperlink r:id="rId9" w:history="1">
        <w:r w:rsidRPr="00157219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the </w:t>
        </w:r>
        <w:proofErr w:type="spellStart"/>
        <w:r w:rsidRPr="00157219">
          <w:rPr>
            <w:rStyle w:val="Hyperlink"/>
            <w:rFonts w:ascii="Arial" w:hAnsi="Arial" w:cs="Arial"/>
            <w:b/>
            <w:bCs/>
            <w:sz w:val="22"/>
            <w:szCs w:val="22"/>
          </w:rPr>
          <w:t>Raine</w:t>
        </w:r>
        <w:proofErr w:type="spellEnd"/>
        <w:r w:rsidRPr="00157219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Study Researcher Engagement Policy</w:t>
        </w:r>
      </w:hyperlink>
      <w:r w:rsidRPr="00CB30F8">
        <w:rPr>
          <w:rFonts w:ascii="Arial" w:hAnsi="Arial" w:cs="Arial"/>
          <w:b/>
          <w:bCs/>
          <w:sz w:val="22"/>
          <w:szCs w:val="22"/>
        </w:rPr>
        <w:t>.</w:t>
      </w:r>
    </w:p>
    <w:p w14:paraId="62345BD8" w14:textId="77777777" w:rsidR="00CD05CF" w:rsidRDefault="00CD05CF" w:rsidP="00CD05CF">
      <w:pPr>
        <w:pStyle w:val="CommentText"/>
        <w:rPr>
          <w:rFonts w:ascii="Arial" w:hAnsi="Arial" w:cs="Arial"/>
          <w:sz w:val="22"/>
          <w:szCs w:val="22"/>
        </w:rPr>
      </w:pPr>
    </w:p>
    <w:p w14:paraId="46197F4A" w14:textId="5354526B" w:rsidR="00CD05CF" w:rsidRPr="00CD05CF" w:rsidRDefault="00CD05CF" w:rsidP="00CD05CF">
      <w:pPr>
        <w:pStyle w:val="CommentText"/>
        <w:rPr>
          <w:rFonts w:ascii="Arial" w:hAnsi="Arial" w:cs="Arial"/>
          <w:sz w:val="22"/>
          <w:szCs w:val="22"/>
        </w:rPr>
      </w:pPr>
      <w:r w:rsidRPr="00CD05CF">
        <w:rPr>
          <w:rFonts w:ascii="Arial" w:hAnsi="Arial" w:cs="Arial"/>
          <w:sz w:val="22"/>
          <w:szCs w:val="22"/>
        </w:rPr>
        <w:t xml:space="preserve">I agree to abide by the </w:t>
      </w:r>
      <w:proofErr w:type="spellStart"/>
      <w:r w:rsidRPr="00CD05CF">
        <w:rPr>
          <w:rFonts w:ascii="Arial" w:hAnsi="Arial" w:cs="Arial"/>
          <w:sz w:val="22"/>
          <w:szCs w:val="22"/>
        </w:rPr>
        <w:t>Raine</w:t>
      </w:r>
      <w:proofErr w:type="spellEnd"/>
      <w:r w:rsidRPr="00CD05CF">
        <w:rPr>
          <w:rFonts w:ascii="Arial" w:hAnsi="Arial" w:cs="Arial"/>
          <w:sz w:val="22"/>
          <w:szCs w:val="22"/>
        </w:rPr>
        <w:t xml:space="preserve"> Study Researcher Engagement Policy, specifically </w:t>
      </w:r>
      <w:r w:rsidR="00AD234A">
        <w:rPr>
          <w:rFonts w:ascii="Arial" w:hAnsi="Arial" w:cs="Arial"/>
          <w:sz w:val="22"/>
          <w:szCs w:val="22"/>
        </w:rPr>
        <w:t xml:space="preserve">on issues </w:t>
      </w:r>
      <w:r w:rsidRPr="00CD05CF">
        <w:rPr>
          <w:rFonts w:ascii="Arial" w:hAnsi="Arial" w:cs="Arial"/>
          <w:sz w:val="22"/>
          <w:szCs w:val="22"/>
        </w:rPr>
        <w:t xml:space="preserve">relating to handling </w:t>
      </w:r>
      <w:proofErr w:type="spellStart"/>
      <w:r w:rsidRPr="00CD05CF">
        <w:rPr>
          <w:rFonts w:ascii="Arial" w:hAnsi="Arial" w:cs="Arial"/>
          <w:sz w:val="22"/>
          <w:szCs w:val="22"/>
        </w:rPr>
        <w:t>biosamples</w:t>
      </w:r>
      <w:proofErr w:type="spellEnd"/>
      <w:r w:rsidRPr="00CD05CF">
        <w:rPr>
          <w:rFonts w:ascii="Arial" w:hAnsi="Arial" w:cs="Arial"/>
          <w:sz w:val="22"/>
          <w:szCs w:val="22"/>
        </w:rPr>
        <w:t>:</w:t>
      </w:r>
    </w:p>
    <w:p w14:paraId="5B350363" w14:textId="793F32A3" w:rsidR="00CD05CF" w:rsidRPr="00CD05CF" w:rsidRDefault="00CD05CF" w:rsidP="00CD05CF">
      <w:pPr>
        <w:pStyle w:val="ListParagraph"/>
        <w:widowControl/>
        <w:numPr>
          <w:ilvl w:val="1"/>
          <w:numId w:val="20"/>
        </w:numPr>
        <w:spacing w:after="160" w:line="259" w:lineRule="auto"/>
        <w:contextualSpacing/>
        <w:rPr>
          <w:rFonts w:ascii="Arial" w:hAnsi="Arial" w:cs="Arial"/>
          <w:lang w:val="en-CA"/>
        </w:rPr>
      </w:pPr>
      <w:r w:rsidRPr="00CD05CF">
        <w:rPr>
          <w:rFonts w:ascii="Arial" w:hAnsi="Arial" w:cs="Arial"/>
          <w:lang w:val="en-CA"/>
        </w:rPr>
        <w:t xml:space="preserve">recognising </w:t>
      </w:r>
      <w:proofErr w:type="spellStart"/>
      <w:r w:rsidRPr="00CD05CF">
        <w:rPr>
          <w:rFonts w:ascii="Arial" w:hAnsi="Arial" w:cs="Arial"/>
          <w:lang w:val="en-CA"/>
        </w:rPr>
        <w:t>biosamples</w:t>
      </w:r>
      <w:proofErr w:type="spellEnd"/>
      <w:r w:rsidRPr="00CD05CF">
        <w:rPr>
          <w:rFonts w:ascii="Arial" w:hAnsi="Arial" w:cs="Arial"/>
          <w:lang w:val="en-CA"/>
        </w:rPr>
        <w:t xml:space="preserve"> are provided for the specific project only, and are not t</w:t>
      </w:r>
      <w:r w:rsidR="00157219">
        <w:rPr>
          <w:rFonts w:ascii="Arial" w:hAnsi="Arial" w:cs="Arial"/>
          <w:lang w:val="en-CA"/>
        </w:rPr>
        <w:t>o be used for any other purpose;</w:t>
      </w:r>
    </w:p>
    <w:p w14:paraId="31768DE7" w14:textId="2C2E9748" w:rsidR="00157219" w:rsidRPr="00157219" w:rsidRDefault="00CD05CF" w:rsidP="00157219">
      <w:pPr>
        <w:pStyle w:val="ListParagraph"/>
        <w:numPr>
          <w:ilvl w:val="1"/>
          <w:numId w:val="20"/>
        </w:numPr>
        <w:rPr>
          <w:rFonts w:ascii="Arial" w:hAnsi="Arial" w:cs="Arial"/>
          <w:lang w:val="en-CA"/>
        </w:rPr>
      </w:pPr>
      <w:r w:rsidRPr="00157219">
        <w:rPr>
          <w:rFonts w:ascii="Arial" w:hAnsi="Arial" w:cs="Arial"/>
          <w:lang w:val="en-CA"/>
        </w:rPr>
        <w:t>maintaining a high level of security and confidentiality,</w:t>
      </w:r>
      <w:r w:rsidR="00157219" w:rsidRPr="00157219">
        <w:t xml:space="preserve"> </w:t>
      </w:r>
      <w:r w:rsidR="00157219" w:rsidRPr="00157219">
        <w:rPr>
          <w:rFonts w:ascii="Arial" w:hAnsi="Arial" w:cs="Arial"/>
          <w:lang w:val="en-CA"/>
        </w:rPr>
        <w:t xml:space="preserve">according to the </w:t>
      </w:r>
      <w:proofErr w:type="spellStart"/>
      <w:r w:rsidR="00157219" w:rsidRPr="00157219">
        <w:rPr>
          <w:rFonts w:ascii="Arial" w:hAnsi="Arial" w:cs="Arial"/>
          <w:lang w:val="en-CA"/>
        </w:rPr>
        <w:t>Raine</w:t>
      </w:r>
      <w:proofErr w:type="spellEnd"/>
      <w:r w:rsidR="00157219" w:rsidRPr="00157219">
        <w:rPr>
          <w:rFonts w:ascii="Arial" w:hAnsi="Arial" w:cs="Arial"/>
          <w:lang w:val="en-CA"/>
        </w:rPr>
        <w:t xml:space="preserve"> Study procedures for </w:t>
      </w:r>
      <w:proofErr w:type="spellStart"/>
      <w:r w:rsidR="00157219" w:rsidRPr="00157219">
        <w:rPr>
          <w:rFonts w:ascii="Arial" w:hAnsi="Arial" w:cs="Arial"/>
          <w:lang w:val="en-CA"/>
        </w:rPr>
        <w:t>biosample</w:t>
      </w:r>
      <w:proofErr w:type="spellEnd"/>
      <w:r w:rsidR="00157219" w:rsidRPr="00157219">
        <w:rPr>
          <w:rFonts w:ascii="Arial" w:hAnsi="Arial" w:cs="Arial"/>
          <w:lang w:val="en-CA"/>
        </w:rPr>
        <w:t xml:space="preserve"> handling;</w:t>
      </w:r>
    </w:p>
    <w:p w14:paraId="299C832E" w14:textId="77777777" w:rsidR="00157219" w:rsidRDefault="00CD05CF" w:rsidP="008F37A7">
      <w:pPr>
        <w:numPr>
          <w:ilvl w:val="1"/>
          <w:numId w:val="20"/>
        </w:numPr>
        <w:spacing w:after="160" w:line="259" w:lineRule="auto"/>
        <w:contextualSpacing/>
        <w:rPr>
          <w:rFonts w:ascii="Arial" w:hAnsi="Arial" w:cs="Arial"/>
          <w:lang w:val="en-CA"/>
        </w:rPr>
      </w:pPr>
      <w:r w:rsidRPr="00157219">
        <w:rPr>
          <w:rFonts w:ascii="Arial" w:hAnsi="Arial" w:cs="Arial"/>
          <w:lang w:val="en-CA"/>
        </w:rPr>
        <w:t>returning derived variables generated as part of the project in a timely manner, with variabl</w:t>
      </w:r>
      <w:r w:rsidR="00157219" w:rsidRPr="00157219">
        <w:rPr>
          <w:rFonts w:ascii="Arial" w:hAnsi="Arial" w:cs="Arial"/>
          <w:lang w:val="en-CA"/>
        </w:rPr>
        <w:t xml:space="preserve">e descriptions and coding guide, according to the </w:t>
      </w:r>
      <w:proofErr w:type="spellStart"/>
      <w:r w:rsidR="00157219" w:rsidRPr="00157219">
        <w:rPr>
          <w:rFonts w:ascii="Arial" w:hAnsi="Arial" w:cs="Arial"/>
          <w:lang w:val="en-CA"/>
        </w:rPr>
        <w:t>Raine</w:t>
      </w:r>
      <w:proofErr w:type="spellEnd"/>
      <w:r w:rsidR="00157219" w:rsidRPr="00157219">
        <w:rPr>
          <w:rFonts w:ascii="Arial" w:hAnsi="Arial" w:cs="Arial"/>
          <w:lang w:val="en-CA"/>
        </w:rPr>
        <w:t xml:space="preserve"> Study procedures for  </w:t>
      </w:r>
      <w:proofErr w:type="spellStart"/>
      <w:r w:rsidR="00157219" w:rsidRPr="00157219">
        <w:rPr>
          <w:rFonts w:ascii="Arial" w:hAnsi="Arial" w:cs="Arial"/>
          <w:lang w:val="en-CA"/>
        </w:rPr>
        <w:t>biosample</w:t>
      </w:r>
      <w:proofErr w:type="spellEnd"/>
      <w:r w:rsidR="00157219" w:rsidRPr="00157219">
        <w:rPr>
          <w:rFonts w:ascii="Arial" w:hAnsi="Arial" w:cs="Arial"/>
          <w:lang w:val="en-CA"/>
        </w:rPr>
        <w:t xml:space="preserve"> handling;</w:t>
      </w:r>
    </w:p>
    <w:p w14:paraId="341DDA03" w14:textId="1FD85BE9" w:rsidR="00CD05CF" w:rsidRPr="00157219" w:rsidRDefault="00CD05CF" w:rsidP="008F37A7">
      <w:pPr>
        <w:numPr>
          <w:ilvl w:val="1"/>
          <w:numId w:val="20"/>
        </w:numPr>
        <w:spacing w:after="160" w:line="259" w:lineRule="auto"/>
        <w:contextualSpacing/>
        <w:rPr>
          <w:rFonts w:ascii="Arial" w:hAnsi="Arial" w:cs="Arial"/>
          <w:lang w:val="en-CA"/>
        </w:rPr>
      </w:pPr>
      <w:proofErr w:type="gramStart"/>
      <w:r w:rsidRPr="00157219">
        <w:rPr>
          <w:rFonts w:ascii="Arial" w:hAnsi="Arial" w:cs="Arial"/>
          <w:lang w:val="en-CA"/>
        </w:rPr>
        <w:t>returning</w:t>
      </w:r>
      <w:proofErr w:type="gramEnd"/>
      <w:r w:rsidRPr="00157219">
        <w:rPr>
          <w:rFonts w:ascii="Arial" w:hAnsi="Arial" w:cs="Arial"/>
          <w:lang w:val="en-CA"/>
        </w:rPr>
        <w:t xml:space="preserve"> any unused materials</w:t>
      </w:r>
      <w:r w:rsidR="00157219" w:rsidRPr="00375183">
        <w:rPr>
          <w:rFonts w:ascii="Arial" w:hAnsi="Arial" w:cs="Arial"/>
          <w:lang w:val="en-CA"/>
        </w:rPr>
        <w:t xml:space="preserve">, according to the </w:t>
      </w:r>
      <w:proofErr w:type="spellStart"/>
      <w:r w:rsidR="00157219" w:rsidRPr="00375183">
        <w:rPr>
          <w:rFonts w:ascii="Arial" w:hAnsi="Arial" w:cs="Arial"/>
          <w:lang w:val="en-CA"/>
        </w:rPr>
        <w:t>Raine</w:t>
      </w:r>
      <w:proofErr w:type="spellEnd"/>
      <w:r w:rsidR="00157219" w:rsidRPr="00375183">
        <w:rPr>
          <w:rFonts w:ascii="Arial" w:hAnsi="Arial" w:cs="Arial"/>
          <w:lang w:val="en-CA"/>
        </w:rPr>
        <w:t xml:space="preserve"> Study procedures for </w:t>
      </w:r>
      <w:proofErr w:type="spellStart"/>
      <w:r w:rsidR="00157219" w:rsidRPr="00375183">
        <w:rPr>
          <w:rFonts w:ascii="Arial" w:hAnsi="Arial" w:cs="Arial"/>
          <w:lang w:val="en-CA"/>
        </w:rPr>
        <w:t>biosample</w:t>
      </w:r>
      <w:proofErr w:type="spellEnd"/>
      <w:r w:rsidR="00157219" w:rsidRPr="00375183">
        <w:rPr>
          <w:rFonts w:ascii="Arial" w:hAnsi="Arial" w:cs="Arial"/>
          <w:lang w:val="en-CA"/>
        </w:rPr>
        <w:t xml:space="preserve"> handling.</w:t>
      </w:r>
    </w:p>
    <w:sectPr w:rsidR="00CD05CF" w:rsidRPr="00157219" w:rsidSect="00541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14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DB74" w14:textId="77777777" w:rsidR="00414A6A" w:rsidRDefault="00414A6A" w:rsidP="00D87F3E">
      <w:r>
        <w:separator/>
      </w:r>
    </w:p>
  </w:endnote>
  <w:endnote w:type="continuationSeparator" w:id="0">
    <w:p w14:paraId="3AA75BAA" w14:textId="77777777" w:rsidR="00414A6A" w:rsidRDefault="00414A6A" w:rsidP="00D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2634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4E559" w14:textId="77777777" w:rsidR="00414A6A" w:rsidRDefault="00414A6A" w:rsidP="00414A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F7A0B" w14:textId="77777777" w:rsidR="00414A6A" w:rsidRDefault="00414A6A" w:rsidP="00D87F3E">
    <w:pPr>
      <w:pStyle w:val="Footer"/>
      <w:ind w:right="360"/>
    </w:pPr>
  </w:p>
  <w:p w14:paraId="4759FBB8" w14:textId="77777777" w:rsidR="00414A6A" w:rsidRDefault="00414A6A"/>
  <w:p w14:paraId="621AA845" w14:textId="77777777" w:rsidR="00414A6A" w:rsidRDefault="00414A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79E8" w14:textId="77777777" w:rsidR="00414A6A" w:rsidRDefault="00414A6A" w:rsidP="00D87F3E">
    <w:pPr>
      <w:pStyle w:val="Footer"/>
      <w:ind w:right="360"/>
    </w:pPr>
  </w:p>
  <w:p w14:paraId="39A4A015" w14:textId="77777777" w:rsidR="00414A6A" w:rsidRDefault="00414A6A"/>
  <w:sdt>
    <w:sdtPr>
      <w:rPr>
        <w:rStyle w:val="PageNumber"/>
      </w:rPr>
      <w:id w:val="-1386326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E278F" w14:textId="431220B5" w:rsidR="00414A6A" w:rsidRDefault="00414A6A" w:rsidP="00B3735E">
        <w:pPr>
          <w:pStyle w:val="Footer"/>
          <w:framePr w:wrap="none" w:vAnchor="text" w:hAnchor="page" w:x="10966" w:y="3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191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60824C" w14:textId="77777777" w:rsidR="00414A6A" w:rsidRDefault="00414A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1699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56B55" w14:textId="14587737" w:rsidR="00414A6A" w:rsidRDefault="00414A6A" w:rsidP="00F52E99">
        <w:pPr>
          <w:pStyle w:val="Footer"/>
          <w:framePr w:wrap="none" w:vAnchor="text" w:hAnchor="page" w:x="10996" w:y="-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191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235BA5" w14:textId="1358B909" w:rsidR="00414A6A" w:rsidRPr="004A1BB9" w:rsidRDefault="004A1BB9">
    <w:pPr>
      <w:pStyle w:val="Footer"/>
      <w:rPr>
        <w:rFonts w:ascii="Arial" w:hAnsi="Arial" w:cs="Arial"/>
        <w:sz w:val="18"/>
      </w:rPr>
    </w:pPr>
    <w:r w:rsidRPr="004A1BB9">
      <w:rPr>
        <w:rFonts w:ascii="Arial" w:hAnsi="Arial" w:cs="Arial"/>
        <w:sz w:val="18"/>
      </w:rPr>
      <w:t xml:space="preserve">ROSS </w:t>
    </w:r>
    <w:proofErr w:type="spellStart"/>
    <w:r w:rsidR="004E202A">
      <w:rPr>
        <w:rFonts w:ascii="Arial" w:hAnsi="Arial" w:cs="Arial"/>
        <w:sz w:val="18"/>
      </w:rPr>
      <w:t>Biosample</w:t>
    </w:r>
    <w:proofErr w:type="spellEnd"/>
    <w:r w:rsidR="004E202A">
      <w:rPr>
        <w:rFonts w:ascii="Arial" w:hAnsi="Arial" w:cs="Arial"/>
        <w:sz w:val="18"/>
      </w:rPr>
      <w:t xml:space="preserve"> request</w:t>
    </w:r>
    <w:r w:rsidRPr="004A1BB9">
      <w:rPr>
        <w:rFonts w:ascii="Arial" w:hAnsi="Arial" w:cs="Arial"/>
        <w:sz w:val="18"/>
      </w:rPr>
      <w:t xml:space="preserve"> </w:t>
    </w:r>
    <w:r w:rsidR="002D1031">
      <w:rPr>
        <w:rFonts w:ascii="Arial" w:hAnsi="Arial" w:cs="Arial"/>
        <w:sz w:val="18"/>
      </w:rPr>
      <w:t xml:space="preserve">template, </w:t>
    </w:r>
    <w:r w:rsidR="001C753B">
      <w:rPr>
        <w:rFonts w:ascii="Arial" w:hAnsi="Arial" w:cs="Arial"/>
        <w:sz w:val="18"/>
      </w:rPr>
      <w:t>July</w:t>
    </w:r>
    <w:r w:rsidR="002D1031">
      <w:rPr>
        <w:rFonts w:ascii="Arial" w:hAnsi="Arial" w:cs="Arial"/>
        <w:sz w:val="18"/>
      </w:rPr>
      <w:t xml:space="preserve"> </w:t>
    </w:r>
    <w:r w:rsidRPr="004A1BB9">
      <w:rPr>
        <w:rFonts w:ascii="Arial" w:hAnsi="Arial" w:cs="Arial"/>
        <w:sz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0FC9" w14:textId="77777777" w:rsidR="00414A6A" w:rsidRDefault="00414A6A" w:rsidP="00D87F3E">
      <w:r>
        <w:separator/>
      </w:r>
    </w:p>
  </w:footnote>
  <w:footnote w:type="continuationSeparator" w:id="0">
    <w:p w14:paraId="16CC52AB" w14:textId="77777777" w:rsidR="00414A6A" w:rsidRDefault="00414A6A" w:rsidP="00D8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9764" w14:textId="77777777" w:rsidR="00414A6A" w:rsidRDefault="00414A6A">
    <w:pPr>
      <w:pStyle w:val="Header"/>
    </w:pPr>
  </w:p>
  <w:p w14:paraId="56118B7A" w14:textId="77777777" w:rsidR="00414A6A" w:rsidRDefault="00414A6A"/>
  <w:p w14:paraId="7A20B157" w14:textId="77777777" w:rsidR="00414A6A" w:rsidRDefault="00414A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B399" w14:textId="77777777" w:rsidR="00414A6A" w:rsidRDefault="00414A6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33B9EE" wp14:editId="6C70A9F0">
          <wp:simplePos x="0" y="0"/>
          <wp:positionH relativeFrom="page">
            <wp:posOffset>0</wp:posOffset>
          </wp:positionH>
          <wp:positionV relativeFrom="page">
            <wp:posOffset>169</wp:posOffset>
          </wp:positionV>
          <wp:extent cx="7560000" cy="1068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CD4F1" w14:textId="77777777" w:rsidR="00414A6A" w:rsidRDefault="00414A6A"/>
  <w:p w14:paraId="7BB1EBA7" w14:textId="77777777" w:rsidR="00414A6A" w:rsidRDefault="00414A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6999" w14:textId="77777777" w:rsidR="00CB30F8" w:rsidRDefault="00CB30F8" w:rsidP="00CB30F8">
    <w:pPr>
      <w:pStyle w:val="Header"/>
      <w:rPr>
        <w:noProof/>
        <w:lang w:val="en-US"/>
      </w:rPr>
    </w:pPr>
  </w:p>
  <w:p w14:paraId="310B6542" w14:textId="74FE3F0D" w:rsidR="00CB30F8" w:rsidRPr="00CB30F8" w:rsidRDefault="00414A6A" w:rsidP="00CB30F8">
    <w:pPr>
      <w:pStyle w:val="Header"/>
      <w:rPr>
        <w:rFonts w:ascii="Arial" w:hAnsi="Arial" w:cs="Arial"/>
        <w:b/>
        <w:color w:val="00778B"/>
      </w:rPr>
    </w:pPr>
    <w:r>
      <w:rPr>
        <w:noProof/>
        <w:lang w:val="en-US"/>
      </w:rPr>
      <w:t xml:space="preserve"> </w:t>
    </w:r>
    <w:r w:rsidR="00CB30F8" w:rsidRPr="00CB30F8">
      <w:rPr>
        <w:rFonts w:ascii="Arial" w:hAnsi="Arial" w:cs="Arial"/>
        <w:b/>
        <w:color w:val="00778B"/>
        <w:sz w:val="48"/>
        <w:szCs w:val="56"/>
      </w:rPr>
      <w:t xml:space="preserve">ROSS </w:t>
    </w:r>
    <w:proofErr w:type="spellStart"/>
    <w:r w:rsidR="00CD05CF">
      <w:rPr>
        <w:rFonts w:ascii="Arial" w:hAnsi="Arial" w:cs="Arial"/>
        <w:b/>
        <w:color w:val="00778B"/>
        <w:sz w:val="48"/>
        <w:szCs w:val="56"/>
      </w:rPr>
      <w:t>Biosample</w:t>
    </w:r>
    <w:proofErr w:type="spellEnd"/>
    <w:r w:rsidR="00CB30F8" w:rsidRPr="00CB30F8">
      <w:rPr>
        <w:rFonts w:ascii="Arial" w:hAnsi="Arial" w:cs="Arial"/>
        <w:b/>
        <w:color w:val="00778B"/>
        <w:sz w:val="48"/>
        <w:szCs w:val="56"/>
      </w:rPr>
      <w:t xml:space="preserve"> request template </w:t>
    </w:r>
    <w:r w:rsidR="00CB30F8" w:rsidRPr="00CB30F8">
      <w:rPr>
        <w:rFonts w:ascii="Arial" w:hAnsi="Arial" w:cs="Arial"/>
        <w:b/>
        <w:color w:val="00778B"/>
        <w:sz w:val="32"/>
        <w:szCs w:val="32"/>
      </w:rPr>
      <w:tab/>
      <w:t xml:space="preserve">           </w:t>
    </w:r>
  </w:p>
  <w:p w14:paraId="49715B29" w14:textId="034D138F" w:rsidR="00414A6A" w:rsidRDefault="00414A6A" w:rsidP="00CB30F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9344B28" wp14:editId="263417D2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DDB"/>
    <w:multiLevelType w:val="hybridMultilevel"/>
    <w:tmpl w:val="4E28E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9A3"/>
    <w:multiLevelType w:val="hybridMultilevel"/>
    <w:tmpl w:val="4E28E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457"/>
    <w:multiLevelType w:val="hybridMultilevel"/>
    <w:tmpl w:val="1AC8C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C94"/>
    <w:multiLevelType w:val="hybridMultilevel"/>
    <w:tmpl w:val="C9685884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DFF"/>
    <w:multiLevelType w:val="hybridMultilevel"/>
    <w:tmpl w:val="217864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656"/>
    <w:multiLevelType w:val="hybridMultilevel"/>
    <w:tmpl w:val="4A88B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6113"/>
    <w:multiLevelType w:val="hybridMultilevel"/>
    <w:tmpl w:val="FB16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A562F"/>
    <w:multiLevelType w:val="hybridMultilevel"/>
    <w:tmpl w:val="41A6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2F76"/>
    <w:multiLevelType w:val="hybridMultilevel"/>
    <w:tmpl w:val="0EB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F3B70"/>
    <w:multiLevelType w:val="hybridMultilevel"/>
    <w:tmpl w:val="E59A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6642"/>
    <w:multiLevelType w:val="hybridMultilevel"/>
    <w:tmpl w:val="670E0072"/>
    <w:lvl w:ilvl="0" w:tplc="5E80DBE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55815D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D7BAB73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B00423C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7F16D21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1D36F5DC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ADD2EC8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B502B28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2DA67F34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1" w15:restartNumberingAfterBreak="0">
    <w:nsid w:val="3D162F31"/>
    <w:multiLevelType w:val="hybridMultilevel"/>
    <w:tmpl w:val="09566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F5AED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6EC6"/>
    <w:multiLevelType w:val="hybridMultilevel"/>
    <w:tmpl w:val="6EC8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0E255E"/>
    <w:multiLevelType w:val="hybridMultilevel"/>
    <w:tmpl w:val="516E4C54"/>
    <w:lvl w:ilvl="0" w:tplc="8A78B3C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7715"/>
    <w:multiLevelType w:val="hybridMultilevel"/>
    <w:tmpl w:val="C4EC2EE0"/>
    <w:lvl w:ilvl="0" w:tplc="08ECA8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57B86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86376"/>
    <w:multiLevelType w:val="hybridMultilevel"/>
    <w:tmpl w:val="DC32FE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6873"/>
    <w:multiLevelType w:val="hybridMultilevel"/>
    <w:tmpl w:val="A6663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B513B"/>
    <w:multiLevelType w:val="hybridMultilevel"/>
    <w:tmpl w:val="38A21A2C"/>
    <w:lvl w:ilvl="0" w:tplc="7654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964BE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7"/>
  </w:num>
  <w:num w:numId="5">
    <w:abstractNumId w:val="12"/>
  </w:num>
  <w:num w:numId="6">
    <w:abstractNumId w:val="3"/>
  </w:num>
  <w:num w:numId="7">
    <w:abstractNumId w:val="20"/>
  </w:num>
  <w:num w:numId="8">
    <w:abstractNumId w:val="16"/>
  </w:num>
  <w:num w:numId="9">
    <w:abstractNumId w:val="18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E"/>
    <w:rsid w:val="00112C8B"/>
    <w:rsid w:val="00157219"/>
    <w:rsid w:val="0019352D"/>
    <w:rsid w:val="001A6FAD"/>
    <w:rsid w:val="001C753B"/>
    <w:rsid w:val="001D215C"/>
    <w:rsid w:val="00263DE8"/>
    <w:rsid w:val="002865D4"/>
    <w:rsid w:val="002D1031"/>
    <w:rsid w:val="00303665"/>
    <w:rsid w:val="00307740"/>
    <w:rsid w:val="00332866"/>
    <w:rsid w:val="003E33DF"/>
    <w:rsid w:val="00414A6A"/>
    <w:rsid w:val="0044717E"/>
    <w:rsid w:val="004A1BB9"/>
    <w:rsid w:val="004E202A"/>
    <w:rsid w:val="005129CE"/>
    <w:rsid w:val="00541910"/>
    <w:rsid w:val="005D73D9"/>
    <w:rsid w:val="00612EE2"/>
    <w:rsid w:val="00644BED"/>
    <w:rsid w:val="0067358C"/>
    <w:rsid w:val="006C320A"/>
    <w:rsid w:val="007427CD"/>
    <w:rsid w:val="008F646F"/>
    <w:rsid w:val="00961045"/>
    <w:rsid w:val="009B4D6A"/>
    <w:rsid w:val="00A035D5"/>
    <w:rsid w:val="00A20DA9"/>
    <w:rsid w:val="00AC6190"/>
    <w:rsid w:val="00AD234A"/>
    <w:rsid w:val="00B3735E"/>
    <w:rsid w:val="00BA7CB7"/>
    <w:rsid w:val="00BF07D4"/>
    <w:rsid w:val="00BF1288"/>
    <w:rsid w:val="00C111A6"/>
    <w:rsid w:val="00C32F23"/>
    <w:rsid w:val="00C33BA5"/>
    <w:rsid w:val="00CB30F8"/>
    <w:rsid w:val="00CD05CF"/>
    <w:rsid w:val="00D87F3E"/>
    <w:rsid w:val="00F52E99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167A878"/>
  <w15:chartTrackingRefBased/>
  <w15:docId w15:val="{1A3E0952-A6D7-044C-8F96-D8810A0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7358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778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35D5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778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3E"/>
  </w:style>
  <w:style w:type="paragraph" w:styleId="Footer">
    <w:name w:val="footer"/>
    <w:basedOn w:val="Normal"/>
    <w:link w:val="Foot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3E"/>
  </w:style>
  <w:style w:type="character" w:styleId="PageNumber">
    <w:name w:val="page number"/>
    <w:basedOn w:val="DefaultParagraphFont"/>
    <w:uiPriority w:val="99"/>
    <w:semiHidden/>
    <w:unhideWhenUsed/>
    <w:rsid w:val="00D87F3E"/>
  </w:style>
  <w:style w:type="paragraph" w:styleId="BalloonText">
    <w:name w:val="Balloon Text"/>
    <w:basedOn w:val="Normal"/>
    <w:link w:val="BalloonTextChar"/>
    <w:uiPriority w:val="99"/>
    <w:semiHidden/>
    <w:unhideWhenUsed/>
    <w:rsid w:val="00FC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8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C5888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5888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735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7358C"/>
    <w:rPr>
      <w:rFonts w:ascii="Arial" w:eastAsiaTheme="majorEastAsia" w:hAnsi="Arial" w:cstheme="majorBidi"/>
      <w:b/>
      <w:color w:val="00778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035D5"/>
    <w:rPr>
      <w:rFonts w:ascii="Arial" w:eastAsiaTheme="majorEastAsia" w:hAnsi="Arial" w:cstheme="majorBidi"/>
      <w:b/>
      <w:i/>
      <w:color w:val="00778B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129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9CE"/>
    <w:pPr>
      <w:spacing w:after="100"/>
      <w:ind w:left="240"/>
    </w:pPr>
  </w:style>
  <w:style w:type="paragraph" w:styleId="BodyText">
    <w:name w:val="Body Text"/>
    <w:basedOn w:val="Normal"/>
    <w:link w:val="BodyTextChar"/>
    <w:uiPriority w:val="1"/>
    <w:qFormat/>
    <w:rsid w:val="00BF07D4"/>
    <w:pPr>
      <w:widowControl w:val="0"/>
      <w:spacing w:before="95"/>
      <w:ind w:left="820" w:hanging="36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7D4"/>
    <w:rPr>
      <w:rFonts w:ascii="Times New Roman" w:eastAsia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F07D4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F07D4"/>
    <w:pPr>
      <w:widowControl w:val="0"/>
    </w:pPr>
    <w:rPr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14A6A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A6A"/>
    <w:rPr>
      <w:sz w:val="20"/>
      <w:szCs w:val="20"/>
      <w:lang w:val="en-AU"/>
    </w:rPr>
  </w:style>
  <w:style w:type="character" w:styleId="SubtleReference">
    <w:name w:val="Subtle Reference"/>
    <w:basedOn w:val="DefaultParagraphFont"/>
    <w:uiPriority w:val="31"/>
    <w:qFormat/>
    <w:rsid w:val="00414A6A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414A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1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A6"/>
    <w:pPr>
      <w:spacing w:after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A6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229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31" w:color="DDDDDD"/>
                    <w:bottom w:val="single" w:sz="6" w:space="15" w:color="DDDDDD"/>
                    <w:right w:val="single" w:sz="6" w:space="31" w:color="DDDDDD"/>
                  </w:divBdr>
                  <w:divsChild>
                    <w:div w:id="12079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admin-sph@uwa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inestudy.org.au/information-for-researchers/information-for-existing-researchers/commonly-used-resourc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A02D41-C120-4DF8-A2DD-09A3B62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Clarke</dc:creator>
  <cp:keywords/>
  <dc:description/>
  <cp:lastModifiedBy>Juliana Gomes Zabatiero</cp:lastModifiedBy>
  <cp:revision>19</cp:revision>
  <dcterms:created xsi:type="dcterms:W3CDTF">2019-04-02T07:58:00Z</dcterms:created>
  <dcterms:modified xsi:type="dcterms:W3CDTF">2019-09-25T02:52:00Z</dcterms:modified>
</cp:coreProperties>
</file>